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</w:t>
      </w:r>
      <w:r>
        <w:rPr>
          <w:rFonts w:ascii="Times New Roman" w:hAnsi="Times New Roman"/>
          <w:sz w:val="24"/>
          <w:szCs w:val="24"/>
        </w:rPr>
        <w:t>ЕНО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Приказом </w:t>
      </w:r>
      <w:r>
        <w:rPr>
          <w:rFonts w:ascii="Times New Roman" w:hAnsi="Times New Roman"/>
          <w:sz w:val="24"/>
          <w:szCs w:val="24"/>
        </w:rPr>
        <w:t xml:space="preserve"> МАДОУ Центр      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развития       ребенка -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детский сад №10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>«Ляйсан» Г. Дюртюли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29 от 29.01.2025</w:t>
      </w:r>
      <w:r>
        <w:rPr>
          <w:sz w:val="20"/>
          <w:szCs w:val="20"/>
        </w:rPr>
        <w:t xml:space="preserve">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ОТЧЕТ</w:t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 результатах выполнения Программы развития МАДОУ Центр равзития ребенка-детский сад №10 «Ляйсан»</w:t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г. Дюртюли за 2024 год</w:t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связи с изменением нормативно-правовой базы в 2024 году были внесены изменения в Программу развития МАДОУ Центр развития ребенка-детский сад №10 «Ляйсан» г. Дюртюли.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программы: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эффективного образовательного пространства, направленного на разностороннее развитие ребенка в период дошкольного детства с учетом возрастных и индивидуальных особенностей на основе духовно- нравственных ценностей народов РФ, исторических и национально-культурных традиций.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задачи: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Повышение профессиональной компетентности педагогов за счёт: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-повышения образовательного уровня педагогов;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творческого потенциала каждого педагога;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-повышения профессиональной активности педагогического коллектива.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Модернизация образовательной среды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-информатизация образовательной деятельности;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-увеличение уровня качества образовательной инфраструктуры ДОУ в соответствии с требованиями ФОП ДО на 15%;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условий для творческой деятельности детей и педагогов;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-расширение социального и сетевого партнерства.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Сохранение и укрепление здоровья участников образовательных отношений: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условий для оздоровления воспитанников, повышение уровня культуры здоровья как компонента общей культуры участников образовательного процесса;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коррекции речевых нарушений у обучающихся с тяжелыми нарушениями речи по АОП ДО;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-более широкое использование здоровьесберегающих технологий в образовательнойдеятельности.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Поэтапное повышение педагогической компетентности родителей воспитанников: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компетентностей родителей в вопросах развития и воспитания детей;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-осознанная активизация участия в деятельности ДОУ через использование интерактивных форм взаимодействия;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психолого-педагогической поддержки семей.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Ожидаемые результаты реализации Программы/ целевые показатели: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Позитивное изменение социального статуса и конкурентоспособности ДОУ при повышении качества образовательной деятельности в соответствии с социальным заказом за счет: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-повышения профессиональной компетенции педагогов ДОУ;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-преобразования образовательной среды в соответствии с требованиями ФГОС ДО и ФОП ДО: информатизация, увеличение уровня качества образовательной инфраструктуры ДОУ в соответствии с требованиями ФОП ДО на 15%;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уровня культуры здоровья участников образовательного процесса: включенность родителей воспитанников в образовательную деятельность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Результаты реализации проектов Программы развития.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Организация методической работы.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 году повышение профессионального уровня осуществлялся согласно годовому плану ДОУ, профессиональным дефицитам и запросам педагогов.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Непрерывность профессионального развития.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Численность педагогических работников, прошедших повышение квалификации по применению в образовательном процессе федеральных государственных образовательных стандартов.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660" w:type="dxa"/>
        <w:jc w:val="left"/>
        <w:tblInd w:w="8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50"/>
        <w:gridCol w:w="1758"/>
        <w:gridCol w:w="1452"/>
      </w:tblGrid>
      <w:tr>
        <w:trPr>
          <w:trHeight w:val="281" w:hRule="atLeast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334" w:hRule="atLeast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ДОУ непрерывность профессионального развития осуществляется в следующих формах: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-курсы повышения квалификации, курсы переподготовки, курсы дополнительного профессионального образования;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-участие в профессиональных конкурсах   района и республики;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-участие в конференциях различного уровня, вебинарах, семинарах;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-система наставничества;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-консультации, семинары, практические занятия, обмен опытом внутри ДОУ, РМО.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ДОУ разработан План-график прохождения курсов повышения квалификации  на 2023-2024 учебный год с учетом выявленных дефицитов и запросов: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-численность педагогических работников, прошедших повышение квалификации по применению в образовательном процессе федеральных государственных образовательных стандартов- 100%;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-численность педагогических работников, прошедших повышение квалификации по программе "Содержание, освоение и актуальные вопросы ФОП ДО"-100%</w:t>
      </w:r>
    </w:p>
    <w:tbl>
      <w:tblPr>
        <w:tblW w:w="9297" w:type="dxa"/>
        <w:jc w:val="left"/>
        <w:tblInd w:w="7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46"/>
        <w:gridCol w:w="1357"/>
        <w:gridCol w:w="1596"/>
        <w:gridCol w:w="897"/>
      </w:tblGrid>
      <w:tr>
        <w:trPr>
          <w:trHeight w:val="274" w:hRule="atLeast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277" w:hRule="atLeast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педагогов, проходящие КПК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>
        <w:trPr>
          <w:trHeight w:val="277" w:hRule="atLeast"/>
        </w:trPr>
        <w:tc>
          <w:tcPr>
            <w:tcW w:w="8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Краткосрочные (16-72ч)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>
        <w:trPr>
          <w:trHeight w:val="277" w:hRule="atLeast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Среднесрочные (72-108ч)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>
        <w:trPr>
          <w:trHeight w:val="278" w:hRule="atLeast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Долгосрочные (108-250 ч)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>
        <w:trPr>
          <w:trHeight w:val="277" w:hRule="atLeast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 переподготовки, КПП (250ч и более)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>
        <w:trPr>
          <w:trHeight w:val="490" w:hRule="atLeast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  <w:tab/>
              <w:t>педагогов,</w:t>
              <w:tab/>
              <w:t>проходящие</w:t>
              <w:tab/>
              <w:t>КПК ежегодно от общего числа педагогов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>
        <w:trPr>
          <w:trHeight w:val="549" w:hRule="atLeast"/>
        </w:trPr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</w:t>
              <w:tab/>
              <w:t>педагогов</w:t>
              <w:tab/>
              <w:t>от</w:t>
              <w:tab/>
              <w:t>общего</w:t>
              <w:tab/>
              <w:t>числа педагогов, прошедшие КПК более 1 раза в год: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Партнеры-организации предоставляющие курсы повышения квалификации: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Бюждетные курсы - ИРО РБ (г.Уфа), Центра непрерывного повышения профессионального мастерства педагогических работников (г. Уфа)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Платно- ООО «Центр непрерывного образования и инноваций», ООО "Московский институт профессиональной переподготовки и повышения квалификации педагогов", ООО «Инфоурок», Негосударственное образовательное частное учреждение организации дополнительного профессионального образования "Актион-МЦФЭР».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2024 году доля педагогов от общего числа педагогов, прошедшие курсы переподготовки-1%.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системы наставничества в ДОУ:</w:t>
      </w:r>
    </w:p>
    <w:tbl>
      <w:tblPr>
        <w:tblW w:w="9349" w:type="dxa"/>
        <w:jc w:val="left"/>
        <w:tblInd w:w="-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102"/>
        <w:gridCol w:w="1584"/>
        <w:gridCol w:w="1476"/>
        <w:gridCol w:w="1186"/>
      </w:tblGrid>
      <w:tr>
        <w:trPr>
          <w:trHeight w:val="314" w:hRule="atLeast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313" w:hRule="atLeast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наставников/доля наставляемых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 (8%)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8/8 (16%)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  (4%)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Вывод: продолжить поиск эффективных форм и приемов наставничества с целью включения наибольшего количества педагогов в систему наставничества.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sz w:val="28"/>
          <w:szCs w:val="28"/>
        </w:rPr>
        <w:t>3. Повышения ИКТ компетентности.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На основании разъяснения Роскомнадзора от 01.03.2023 о вступлении в силу ч.8-10 ст.10 закона «Об информации, информационных технологиях и о защите информации», Письма Министерства Просвешщения России №АБ-1668/08 от 17.04.2023 «Об исполнении поручения» с 01.09.2023 активно используется платформа «Сферум». Виды дистанционного взаимодействия с педагогами –видеоконференция (педсоветы, семинары, консультации, совещания).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Использование облачных сервисов (яндекс-диск) «База знаний» позволяют провести реорганизацию работы по самообразованию педагогов (просмотр открытых мероприятий совместной деятельности педагогов с детьми, размещение материалов для самообразования педагогов).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Выводы: наблюдается</w:t>
        <w:tab/>
        <w:t>положительная</w:t>
        <w:tab/>
        <w:t>динамика</w:t>
        <w:tab/>
        <w:t>повышения образовательного уровня педагогов.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Повышения профессиональной активности педагогического коллектива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В 2024 году воспитатели и специалисты принимали участие в мероприятиях различного уровня (районный, республиканский), в т.ч. в рамках реализации Плана мероприятий по проведению Года Семьи в </w:t>
      </w:r>
      <w:hyperlink r:id="rId2">
        <w:r>
          <w:rPr>
            <w:rStyle w:val="ListLabel1"/>
            <w:rFonts w:ascii="Times New Roman" w:hAnsi="Times New Roman"/>
            <w:sz w:val="28"/>
            <w:szCs w:val="28"/>
          </w:rPr>
          <w:t>Д</w:t>
        </w:r>
      </w:hyperlink>
      <w:r>
        <w:rPr>
          <w:rFonts w:ascii="Times New Roman" w:hAnsi="Times New Roman"/>
          <w:sz w:val="28"/>
          <w:szCs w:val="28"/>
        </w:rPr>
        <w:t>ОУ,  на районом уровне, на уровне Республики Башкортостан.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640" w:type="dxa"/>
        <w:jc w:val="left"/>
        <w:tblInd w:w="-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98"/>
        <w:gridCol w:w="1925"/>
        <w:gridCol w:w="1188"/>
        <w:gridCol w:w="1028"/>
      </w:tblGrid>
      <w:tr>
        <w:trPr>
          <w:trHeight w:val="281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выступления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278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Вывод: наблюдается повышение мотивации педагогов представлять опыт на различных уровнях.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Открытые мероприятия.</w:t>
      </w:r>
    </w:p>
    <w:tbl>
      <w:tblPr>
        <w:tblW w:w="10062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686"/>
        <w:gridCol w:w="1423"/>
        <w:gridCol w:w="846"/>
        <w:gridCol w:w="1106"/>
      </w:tblGrid>
      <w:tr>
        <w:trPr>
          <w:trHeight w:val="306" w:hRule="atLeast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306" w:hRule="atLeast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322" w:hRule="atLeast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педагогов от общего числа педагогов, %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Вывод: наблюдается стабильная положительная динамика участия педагогов в РМО.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профессиональных конкурсах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 педагоги приняли участие в следующих профессиональных конкурсах «</w:t>
      </w:r>
      <w:r>
        <w:rPr>
          <w:rFonts w:ascii="Times New Roman" w:hAnsi="Times New Roman"/>
          <w:sz w:val="28"/>
          <w:szCs w:val="28"/>
        </w:rPr>
        <w:t>Центр  эксперимента», «Алло, таланты, спартакиада «Здоровье». Достигли высоких результатов.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8"/>
          <w:szCs w:val="28"/>
        </w:rPr>
        <w:t>Деятельность в РМО.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ДОУ участвуют в деятельности следующих РМО: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-методическое объединение педагогов-психологов г.Дюртюли и Дюртюлинского района;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-методическое объединение инструкторов по физической культуре г.Дюртюли и Дюртюлинского района;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-методическое  объединение учителей-логопедов г.Дюртюли и Дюртюлинского района;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-методическое  объединение воспитателей г.Дюртюли и Дюртюлинского района.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Вывод: наблюдается стабильное участие педагогов в РМО.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Награды педагогических работников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/>
      </w:r>
    </w:p>
    <w:tbl>
      <w:tblPr>
        <w:tblW w:w="8704" w:type="dxa"/>
        <w:jc w:val="left"/>
        <w:tblInd w:w="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581"/>
        <w:gridCol w:w="2122"/>
      </w:tblGrid>
      <w:tr>
        <w:trPr>
          <w:trHeight w:val="298" w:hRule="atLeast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награды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581" w:hRule="atLeast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  администрации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trHeight w:val="586" w:hRule="atLeast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 Управления образования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582" w:hRule="atLeast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Министерства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Просвещения Республики Башкортостан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578" w:hRule="atLeast"/>
        </w:trPr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 Министерства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просвещения Российской Федерации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воспитанников в конкурсах, соревнованиях, олимпиадах, выставках, смотрах, физкультурных и других массовых мероприятиях.</w:t>
      </w:r>
    </w:p>
    <w:p>
      <w:pPr>
        <w:pStyle w:val="Normal"/>
        <w:spacing w:lineRule="auto" w:line="240" w:before="0" w:after="0"/>
        <w:rPr>
          <w:rFonts w:ascii="Times New Roman" w:hAnsi="Times New Roman" w:cs="" w:cstheme="minorBidi"/>
          <w:sz w:val="28"/>
          <w:szCs w:val="28"/>
          <w:highlight w:val="none"/>
          <w:shd w:fill="FFFF00" w:val="clear"/>
        </w:rPr>
      </w:pPr>
      <w:r>
        <w:rPr/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4111"/>
        <w:gridCol w:w="2393"/>
        <w:gridCol w:w="2393"/>
      </w:tblGrid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ФИО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Название конкурса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Награждение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Вахитова Аделина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«Творим и радуем»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Хафизова Амелия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«Угадайте, что за птица?»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Гиззатов Данияр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«Угадайте, что за птица?»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Манкиев Самат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«Угадайте, что за птица?»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2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Латыпова Аделия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«Угадайте, что за птица?»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Афзалова Надина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«Угадайте, что за птица?»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Садыкова Нелли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«Угадайте, что за птица?»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Рафикова Розалина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«Угадайте, что за птица?»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2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Бадертдинова Эльнара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«Угадайте, что за птица?»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2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Сакаев Арслан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«Конкурс чтецов»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Муниципальная Грамота 2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Андрянов Данияр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Афзалова Надина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Бадертдинова Эльнара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Вахитова Аделина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Гимазова Диана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Латыпова Аделия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Манкиев Самат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Першин Вадим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Рафикова Розалина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Рашитов Салават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Садыкова Нелли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Хафизова Амелия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Хисматуллина Виктория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41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Шарипова Дарина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«Просторы     Космоса»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Arial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ru-RU" w:eastAsia="en-US" w:bidi="ar-SA"/>
              </w:rPr>
              <w:t>Диплом 1 место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tbl>
      <w:tblPr>
        <w:tblW w:w="932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3057"/>
        <w:gridCol w:w="3484"/>
        <w:gridCol w:w="2782"/>
      </w:tblGrid>
      <w:tr>
        <w:trPr>
          <w:trHeight w:val="531" w:hRule="atLeast"/>
        </w:trPr>
        <w:tc>
          <w:tcPr>
            <w:tcW w:w="3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Уровень развития</w:t>
            </w:r>
          </w:p>
        </w:tc>
        <w:tc>
          <w:tcPr>
            <w:tcW w:w="6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Конец учебного года</w:t>
            </w:r>
          </w:p>
        </w:tc>
      </w:tr>
      <w:tr>
        <w:trPr>
          <w:trHeight w:val="155" w:hRule="atLeast"/>
        </w:trPr>
        <w:tc>
          <w:tcPr>
            <w:tcW w:w="30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Кол-во детей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Проц. пок-ль</w:t>
            </w:r>
          </w:p>
        </w:tc>
      </w:tr>
      <w:tr>
        <w:trPr>
          <w:trHeight w:val="254" w:hRule="atLeast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u w:val="none"/>
              </w:rPr>
              <w:t>«Г»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43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65%</w:t>
            </w:r>
          </w:p>
        </w:tc>
      </w:tr>
      <w:tr>
        <w:trPr>
          <w:trHeight w:val="254" w:hRule="atLeast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u w:val="none"/>
              </w:rPr>
              <w:t>«УГ»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19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28,7%</w:t>
            </w:r>
          </w:p>
        </w:tc>
      </w:tr>
      <w:tr>
        <w:trPr>
          <w:trHeight w:val="254" w:hRule="atLeast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u w:val="none"/>
              </w:rPr>
              <w:t>«УНГ»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4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6,06%</w:t>
            </w:r>
          </w:p>
        </w:tc>
      </w:tr>
      <w:tr>
        <w:trPr>
          <w:trHeight w:val="254" w:hRule="atLeast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u w:val="none"/>
              </w:rPr>
              <w:t>«НГ»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0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0</w:t>
            </w:r>
          </w:p>
        </w:tc>
      </w:tr>
      <w:tr>
        <w:trPr>
          <w:trHeight w:val="278" w:hRule="atLeast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Итого: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66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  <w:t>100</w:t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color w:val="000000"/>
          <w:sz w:val="28"/>
          <w:szCs w:val="28"/>
        </w:rPr>
        <w:tab/>
        <w:t>Работа по подготовке воспитанников к школе ведется на должном уровне. Воспитанники овладевают необходимыми знаниями и навыками учебной деятельности, имеют мотивацию к учебной деятельности. С воспитанниками проводится систематическая индивидуальная работа, которая позволяет восполнить пробелы в знаниях и умениях, сформировать важные для будущего школьника знания. Разработанная нами система педагогической работы по преемственности между детским садом и школой ведёт к созданию условий для плавного перехода из дошкольного детства к систематическому школьному обучению.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>Санитарно-гигиенические условия внутренних помещений ДОО соответствует требованиям нормативных документов. Предусмотрена систематическая деятельность в сфере гигиены и формирования культурно-гигиенических навыков, сохранению, укреплению здоровья воспитанников с учетом потребностей и возможностей воспитанников. Рядом с местом активности детей размещены наглядные информационные материалы, проводится системная работа по формированию здорового образа жизни. Присутствует утренний фильтр здоровья детей.</w:t>
      </w:r>
      <w:r>
        <w:rPr>
          <w:rFonts w:eastAsia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Медицинско</w:t>
      </w:r>
      <w:r>
        <w:rPr>
          <w:rFonts w:ascii="Times New Roman" w:hAnsi="Times New Roman"/>
          <w:sz w:val="28"/>
          <w:szCs w:val="28"/>
        </w:rPr>
        <w:t xml:space="preserve">е обслуживание детей осуществляется медицинской сестрой ГБУЗ РБ ДЦРБ, которая наряду с администрацией Учреждения несет ответственность за здоровье и физическое развитие воспитанников проводит профилактические мероприятия, контролирует соблюдение санитарно-гигиенических норм, режима и обеспечение качества питания. Медицинский блок, включающий в себя медицинский кабинет, процедурную, оснащен необходимым медицинским инструментарием, набором медикаментов. Медицинская сестра ведет учет и анализ общей заболеваемости воспитанников, анализ простудных заболеваний. Учреждение курирует детская поликлиника, которая осуществляет лечебно-профилактическую помощь дошкольникам, дает рекомендации родителям (законным представителям) воспитанников по укреплению здоровья и предупреждению вирусных, инфекционных заболеваний, проводит совместную работу с педагогическим коллективом по реабилитации дошкольников в условиях детского сада. Ежегодно проводятся углубленные осмотры детей врачами-специалистами. 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eastAsia="" w:ascii="Times New Roman" w:hAnsi="Times New Roman" w:eastAsiaTheme="minorEastAsia"/>
          <w:b w:val="false"/>
          <w:bCs w:val="false"/>
          <w:i w:val="false"/>
          <w:iCs w:val="false"/>
          <w:sz w:val="28"/>
          <w:szCs w:val="28"/>
          <w:u w:val="none"/>
          <w:shd w:fill="auto" w:val="clear"/>
        </w:rPr>
        <w:t>Анализ состояния здоровья</w:t>
      </w:r>
    </w:p>
    <w:tbl>
      <w:tblPr>
        <w:tblW w:w="951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4536"/>
        <w:gridCol w:w="1806"/>
        <w:gridCol w:w="1543"/>
        <w:gridCol w:w="1632"/>
      </w:tblGrid>
      <w:tr>
        <w:trPr/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Показатели за 3 года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2022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2023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2024</w:t>
            </w:r>
          </w:p>
        </w:tc>
      </w:tr>
      <w:tr>
        <w:trPr/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Число дней функционирования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244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247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248</w:t>
            </w:r>
          </w:p>
        </w:tc>
      </w:tr>
      <w:tr>
        <w:trPr/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Средне-списочный состав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 xml:space="preserve">          </w:t>
            </w: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288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258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257</w:t>
            </w:r>
          </w:p>
        </w:tc>
      </w:tr>
      <w:tr>
        <w:trPr/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Заболеваемость в детоднях на 1 ребенка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3,9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3,3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4,2</w:t>
            </w:r>
          </w:p>
        </w:tc>
      </w:tr>
      <w:tr>
        <w:trPr/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Общее количество заболеваний (д/дни)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1159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957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1087</w:t>
            </w:r>
          </w:p>
        </w:tc>
      </w:tr>
      <w:tr>
        <w:trPr/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Часто болеющие дети, %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-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-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-</w:t>
            </w:r>
          </w:p>
        </w:tc>
      </w:tr>
      <w:tr>
        <w:trPr>
          <w:trHeight w:val="29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Дети с хроническими заболеваниями, %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1,72%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2%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2,3%</w:t>
            </w:r>
          </w:p>
        </w:tc>
      </w:tr>
      <w:tr>
        <w:trPr/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 xml:space="preserve">Группы здоровья, </w:t>
            </w: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en-US"/>
              </w:rPr>
              <w:t xml:space="preserve">  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22</w:t>
            </w:r>
          </w:p>
        </w:tc>
      </w:tr>
      <w:tr>
        <w:trPr/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en-US"/>
              </w:rPr>
              <w:t>II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260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258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193</w:t>
            </w:r>
          </w:p>
        </w:tc>
      </w:tr>
      <w:tr>
        <w:trPr>
          <w:trHeight w:val="312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en-US"/>
              </w:rPr>
              <w:t xml:space="preserve"> </w:t>
            </w: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  <w:lang w:val="en-US"/>
              </w:rPr>
              <w:t>III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 w:eastAsiaTheme="minorEastAsia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shd w:fill="auto" w:val="clear"/>
              </w:rPr>
              <w:t>6</w:t>
            </w:r>
          </w:p>
        </w:tc>
      </w:tr>
    </w:tbl>
    <w:p>
      <w:pPr>
        <w:pStyle w:val="NormalWeb"/>
        <w:spacing w:lineRule="auto" w:line="240" w:beforeAutospacing="0" w:before="0" w:afterAutospacing="0" w:after="0"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Web"/>
        <w:spacing w:lineRule="auto" w:line="240" w:beforeAutospacing="0" w:before="0" w:afterAutospacing="0" w:after="0"/>
        <w:ind w:hanging="0"/>
        <w:jc w:val="both"/>
        <w:rPr/>
      </w:pPr>
      <w:r>
        <w:rPr>
          <w:b w:val="false"/>
          <w:bCs w:val="false"/>
        </w:rPr>
        <w:tab/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В Учреждении организовано 4-х-разовое питание на основе примерного десятидневного меню, обеспечивает гарантированное сбалансированное питание детей в соответствии с их возрастом и временем пребывания в детском саду по нормам, утвержденным СанПиН 2.3./2.4.3590-20 «Санитарно-эпидемиологические требования к организации общественного питания населения».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 Заключаются договоры с различными организациями о порядке обеспечения питанием воспитанников и сотрудников, при поставке продуктов строго отслеживается наличие сертификатов качества.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Вывод: наблюдается положительная динамика роста профессионального развития педагогов и результативности участия воспитанников в конкурсном движении ДОУ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 Информатизация образовательной деятельности.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2024 году был проведен анализ учебно-методического обеспечения, в.т.ч. использования информационных технологий для обеспечения реализации задач ФОП ДО.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практику работы детского сада внедрены информационно-коммуникационные технологии: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114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деятельности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114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 проведении организованной образовательной деятельности с детьми;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114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 организации праздничных и досуговых мероприятий;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114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 проведении мероприятий для родителей воспитанников.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ЭСО - технологии, используемые в ГБДОУ, существенно облегчают процесс документооборота, составления отчётов, документов по различным видам деятельности ДОУ, проведения самообследования, мониторинга качества образования.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Библиотечно-информационное</w:t>
        <w:tab/>
        <w:t>обеспечение ДОУ</w:t>
        <w:tab/>
        <w:t>пополняет</w:t>
        <w:tab/>
        <w:t>имеющийся библиотечный фонд периодическими изданиями: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-пополнение учебно-методической литературой на электронном носителе-30%.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-ДОУ подключен к сети Интернет. Широко используется интернет-ресурс: педагоги имеют возможность воспользоваться образовательными сайтами, группами в социальных сетях.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2024 года, в рамках реализации ФОП ДО, осуществляется работа по формированию цифровой грамотности воспитанников.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 внедрена и активно используется платформа «Сферум».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продолжают совершенствовать ИКТ-компетенции (курсы повышения квалификации, участие в вебинарах, обмен опытом внутри  ДОУ).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521" w:type="dxa"/>
        <w:jc w:val="left"/>
        <w:tblInd w:w="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408"/>
        <w:gridCol w:w="885"/>
        <w:gridCol w:w="856"/>
        <w:gridCol w:w="1371"/>
      </w:tblGrid>
      <w:tr>
        <w:trPr>
          <w:trHeight w:val="345" w:hRule="atLeast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654" w:hRule="atLeast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педагогов, умеющие работать с видео- и аудиоредакторами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>
        <w:trPr>
          <w:trHeight w:val="654" w:hRule="atLeast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педагогов, умеющие работать с искусственным интеллектом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>
          <w:trHeight w:val="342" w:hRule="atLeast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педагогов, имеющий персональный сайт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Систематическое  пополнение  официального  сайта  ДОУ  в  сети  Интернет и приведение в соответствие с требованиями действующего законодательства позволяет построить эффективное взаимодействие между участниками образовательных отношений (педагоги, родители, дети), обеспечения открытости и доступности информации о деятельности дошкольного образовательного учреждения.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2024 году нарушений требований к сайту ДОУ не выявлено.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ДОУ осуществляются мероприятия по обеспечению информационной безопасности в соответствии с законодательством РФ.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8"/>
          <w:szCs w:val="28"/>
        </w:rPr>
        <w:tab/>
        <w:t>Активно используется электронная почта, мессенджеры,</w:t>
        <w:tab/>
        <w:t>социальная сеть «Вконтакте».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sz w:val="28"/>
          <w:szCs w:val="28"/>
        </w:rPr>
        <w:t xml:space="preserve">Вывод: Продолжить работу по мониторингу российских онлайн сервисов, которые можно использовать в образовательной деятельности.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64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Создание условий для творческой деятельности детей и педагогов.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 году был проведен мониторинг образовательной инфраструктуры ДОУ для обеспечения реализации задач ФОП ДО.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РППС в группах и ДОУ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96"/>
        <w:gridCol w:w="2397"/>
        <w:gridCol w:w="2398"/>
        <w:gridCol w:w="2395"/>
      </w:tblGrid>
      <w:tr>
        <w:trPr>
          <w:trHeight w:val="396" w:hRule="atLeast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spacing w:lineRule="auto" w:line="240"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spacing w:lineRule="auto" w:line="24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spacing w:lineRule="auto" w:line="24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spacing w:lineRule="auto" w:line="240"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337" w:hRule="atLeast"/>
        </w:trPr>
        <w:tc>
          <w:tcPr>
            <w:tcW w:w="23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РППС в группах</w:t>
            </w:r>
          </w:p>
        </w:tc>
        <w:tc>
          <w:tcPr>
            <w:tcW w:w="23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«Лучший</w:t>
              <w:tab/>
              <w:t>уголок здоровья»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«Уголок конструирования»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«Центр эксперимента»</w:t>
            </w:r>
          </w:p>
        </w:tc>
      </w:tr>
      <w:tr>
        <w:trPr/>
        <w:tc>
          <w:tcPr>
            <w:tcW w:w="23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РППС в</w:t>
              <w:tab/>
              <w:t>залах/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кабинетах</w:t>
            </w:r>
          </w:p>
        </w:tc>
        <w:tc>
          <w:tcPr>
            <w:tcW w:w="23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spacing w:lineRule="auto" w:line="240"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Блоки йоги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инструменты</w:t>
            </w:r>
          </w:p>
        </w:tc>
      </w:tr>
      <w:tr>
        <w:trPr/>
        <w:tc>
          <w:tcPr>
            <w:tcW w:w="23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0" w:after="0"/>
              <w:ind w:left="107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РППС </w:t>
            </w:r>
            <w:r>
              <w:rPr>
                <w:spacing w:val="-2"/>
                <w:sz w:val="24"/>
                <w:szCs w:val="24"/>
              </w:rPr>
              <w:t>прогулочных участков</w:t>
            </w:r>
          </w:p>
        </w:tc>
        <w:tc>
          <w:tcPr>
            <w:tcW w:w="23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0" w:after="0"/>
              <w:ind w:left="105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Смотр-конкурс «Лучший зимний участок»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40" w:before="0" w:after="0"/>
              <w:ind w:left="105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Смотр-конкурс «Лучший зимний участок»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0" w:after="0"/>
              <w:ind w:left="105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Смотр-конкурс «Лучший зимний участок»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Вывод: продолжить работу по приведению образовательной инфраструктуры ДОУ в соответствии с ФОП ДО.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7. Обеспечение коррекции нарушений развития у различных категорий детей, включая детей с тяжелыми нарушениями речи, в том числе детей с ОВЗ и детей-инвалидов; оказание им квалифицированной помощи в освоении ОП ДОУ, их разностороннее развитие с учетом возрастных и индивидуальных особенностей, социальной адаптации.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детском саду работает 1 педагог-психолог; 4 учителя-логопеда. Работа специалистов строится по нескольким направлениям: психопрофилактическoе, психокоррекционное, логопедическое, просветительское, консультативное.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 результате  проведенной  коррекционно-воспитательной  и  образовательной  работы в соответствии с программными требованиями и индивидуальной работой с каждым воспитанником,  а  также  раннего  психолого-педагогического  сопровождения  детей на протяжении всего учебного года были реализованы следующие задачи: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-добиваться высокой эффективности каждого коррекционного мероприятия (занятия, консультации и т.д.);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-совершенствовать формы и методы коррекционной  работы, способствующей наиболее полному преодолению дефектов устной и письменной речи;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-формировать правильное произношение, обогащать и развивать словарь, развивать грамматический строй речи, связную речь;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ДОУ обучаются 5 детей-инвалидов, 43 ребенка с ОВЗ (посещают группу для обучающихся с тяжелыми нарушениями речи), имеют индивидуальный образовательный маршрут.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Вывод: продолжать работу по совершенствованию форм и методов коррекционной работы по ОП ДО и АОП ДО, способствующих наиболее полному преодолению дефектов устной и письменной речи.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Консультационная помощь оказывается как в очном, так и в дистанционном формате (информационный стенд, официальный сайт ДОУ, страница Вк, электронное обращение, эл.почта, мессенджеры, телефон). Консультации носят как тематический (родительские собрания, групповые консультации), так и индивидиальный характер. Запрос участников образовательных отношений в консультационной помощи осуществляется с помощью различных опросов, записи в журнале МКЦ, электронных обращений.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8. Открытость и доступность информации.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</w:t>
        <w:tab/>
        <w:t>открытость</w:t>
        <w:tab/>
        <w:t xml:space="preserve">деятельности ДОУ обеспечивается своевременностью размещения и обновления материала на официальном сайте ДОУ, информационных стендах и в группе ВК. Содержание и обновление информации, размещённой на сайте, соответствует законодательств РФ. Ежегодно проводиться мониторинг информационной открытости ДОУ.  Выводы: по результатам анализа анкет и мероприятий было выявлено: 15% родителей готовы принять участие в деятельности ДОУ в качестве участника инициативной группы, а 40% родителей готовы принять участие в отдельных мероприятиях. 45% родителей выбирают дистанционные формы поддержки (вебинары, презентации, буклеты). Приоритетными источниками информации для семей воспитанников являются педагоги, сайт, социальная сеть «Вконтакте».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Вывод: продолжить работу по проведению мониторинговых исследований «Оценка запросов и уровня вовлеченности» среди семей воспитанников с целью оптимизации выбора форм и форматов взаимодействия.</w:t>
      </w:r>
    </w:p>
    <w:sectPr>
      <w:type w:val="nextPage"/>
      <w:pgSz w:w="11906" w:h="16838"/>
      <w:pgMar w:left="1701" w:right="618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qFormat/>
    <w:pPr>
      <w:ind w:left="1" w:right="765"/>
      <w:jc w:val="center"/>
      <w:outlineLvl w:val="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Heading3">
    <w:name w:val="Heading 3"/>
    <w:basedOn w:val="Normal"/>
    <w:qFormat/>
    <w:pPr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4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ind w:hanging="284" w:left="288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eastAsia="Times New Roman"/>
      <w:sz w:val="24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60krsl.dou.spb.ru/about-us-1/tematicheskie-gody/god-pedagoga-i-nastavnika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Application>LibreOffice/24.2.5.2$Linux_X86_64 LibreOffice_project/420$Build-2</Application>
  <AppVersion>15.0000</AppVersion>
  <Pages>10</Pages>
  <Words>2213</Words>
  <Characters>16600</Characters>
  <CharactersWithSpaces>18694</CharactersWithSpaces>
  <Paragraphs>408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2023-12-08T03:53:00Z</dcterms:created>
  <dc:creator>User</dc:creator>
  <dc:description/>
  <dc:language>ru-RU</dc:language>
  <cp:lastModifiedBy/>
  <dcterms:modified xsi:type="dcterms:W3CDTF">2025-02-03T11:07:42Z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